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EA1A" w14:textId="77777777" w:rsidR="00EF1F2B" w:rsidRDefault="00B53D71">
      <w:pPr>
        <w:rPr>
          <w:b/>
        </w:rPr>
      </w:pPr>
      <w:r>
        <w:rPr>
          <w:noProof/>
        </w:rPr>
        <mc:AlternateContent>
          <mc:Choice Requires="wps">
            <w:drawing>
              <wp:anchor distT="45720" distB="45720" distL="114300" distR="114300" simplePos="0" relativeHeight="251669504" behindDoc="0" locked="0" layoutInCell="1" allowOverlap="1" wp14:anchorId="3E1FA165" wp14:editId="798A9698">
                <wp:simplePos x="0" y="0"/>
                <wp:positionH relativeFrom="column">
                  <wp:posOffset>971550</wp:posOffset>
                </wp:positionH>
                <wp:positionV relativeFrom="paragraph">
                  <wp:posOffset>-425450</wp:posOffset>
                </wp:positionV>
                <wp:extent cx="5775960" cy="1854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1854200"/>
                        </a:xfrm>
                        <a:prstGeom prst="rect">
                          <a:avLst/>
                        </a:prstGeom>
                        <a:noFill/>
                        <a:ln w="9525">
                          <a:noFill/>
                          <a:miter lim="800000"/>
                          <a:headEnd/>
                          <a:tailEnd/>
                        </a:ln>
                      </wps:spPr>
                      <wps:txbx>
                        <w:txbxContent>
                          <w:p w14:paraId="0617B607" w14:textId="49EA5357" w:rsidR="00B53D71" w:rsidRDefault="008275FA" w:rsidP="00DF3584">
                            <w:pPr>
                              <w:rPr>
                                <w:b/>
                                <w:sz w:val="32"/>
                                <w:szCs w:val="32"/>
                              </w:rPr>
                            </w:pPr>
                            <w:r>
                              <w:rPr>
                                <w:rFonts w:cstheme="minorHAnsi"/>
                                <w:b/>
                                <w:color w:val="000000"/>
                                <w:sz w:val="38"/>
                                <w:szCs w:val="38"/>
                                <w:shd w:val="clear" w:color="auto" w:fill="FFFFFF"/>
                              </w:rPr>
                              <w:t>Show Me the Money! Exploring Universities’ Fund Development Policies and Practices</w:t>
                            </w:r>
                          </w:p>
                          <w:p w14:paraId="56AEED9A" w14:textId="745BCF54" w:rsidR="00DF3584" w:rsidRPr="00B53D71" w:rsidRDefault="008275FA" w:rsidP="00DF3584">
                            <w:pPr>
                              <w:rPr>
                                <w:b/>
                                <w:sz w:val="32"/>
                                <w:szCs w:val="32"/>
                              </w:rPr>
                            </w:pPr>
                            <w:r>
                              <w:rPr>
                                <w:b/>
                                <w:sz w:val="32"/>
                                <w:szCs w:val="32"/>
                              </w:rPr>
                              <w:t>May 6</w:t>
                            </w:r>
                            <w:r w:rsidR="00A45EEF" w:rsidRPr="00B53D71">
                              <w:rPr>
                                <w:b/>
                                <w:sz w:val="32"/>
                                <w:szCs w:val="32"/>
                              </w:rPr>
                              <w:t>, 201</w:t>
                            </w:r>
                            <w:r>
                              <w:rPr>
                                <w:b/>
                                <w:sz w:val="32"/>
                                <w:szCs w:val="32"/>
                              </w:rPr>
                              <w:t>9</w:t>
                            </w:r>
                            <w:r w:rsidR="00A45EEF" w:rsidRPr="00B53D71">
                              <w:rPr>
                                <w:b/>
                                <w:sz w:val="32"/>
                                <w:szCs w:val="32"/>
                              </w:rPr>
                              <w:t xml:space="preserve"> at </w:t>
                            </w:r>
                            <w:r>
                              <w:rPr>
                                <w:b/>
                                <w:sz w:val="32"/>
                                <w:szCs w:val="32"/>
                              </w:rPr>
                              <w:t xml:space="preserve">1:30 </w:t>
                            </w:r>
                            <w:r w:rsidR="00DF3584" w:rsidRPr="00B53D71">
                              <w:rPr>
                                <w:b/>
                                <w:sz w:val="32"/>
                                <w:szCs w:val="32"/>
                              </w:rPr>
                              <w:t>p.m. E</w:t>
                            </w:r>
                            <w:r>
                              <w:rPr>
                                <w:b/>
                                <w:sz w:val="32"/>
                                <w:szCs w:val="32"/>
                              </w:rPr>
                              <w:t>D</w:t>
                            </w:r>
                            <w:r w:rsidR="00DF3584" w:rsidRPr="00B53D71">
                              <w:rPr>
                                <w:b/>
                                <w:sz w:val="32"/>
                                <w:szCs w:val="32"/>
                              </w:rPr>
                              <w:t>T</w:t>
                            </w:r>
                          </w:p>
                          <w:p w14:paraId="56FB990E" w14:textId="3A00462F" w:rsidR="00A1045B" w:rsidRPr="008275FA" w:rsidRDefault="008275FA" w:rsidP="003D3EF4">
                            <w:pPr>
                              <w:rPr>
                                <w:b/>
                                <w:sz w:val="32"/>
                                <w:szCs w:val="32"/>
                              </w:rPr>
                            </w:pPr>
                            <w:r w:rsidRPr="008275FA">
                              <w:rPr>
                                <w:b/>
                                <w:sz w:val="32"/>
                                <w:szCs w:val="32"/>
                              </w:rPr>
                              <w:t>Presenters:</w:t>
                            </w:r>
                          </w:p>
                          <w:p w14:paraId="37915BAE" w14:textId="75CD0CD6" w:rsidR="008275FA" w:rsidRPr="008275FA" w:rsidRDefault="008275FA" w:rsidP="003D3EF4">
                            <w:pPr>
                              <w:rPr>
                                <w:b/>
                                <w:sz w:val="28"/>
                                <w:szCs w:val="28"/>
                              </w:rPr>
                            </w:pPr>
                            <w:r w:rsidRPr="008275FA">
                              <w:rPr>
                                <w:b/>
                                <w:sz w:val="28"/>
                                <w:szCs w:val="28"/>
                              </w:rPr>
                              <w:t>Autumn Guin and Susan Colby, North Carolina State University</w:t>
                            </w:r>
                          </w:p>
                          <w:p w14:paraId="56725FA2" w14:textId="12B8614B" w:rsidR="008275FA" w:rsidRDefault="008275FA" w:rsidP="003D3EF4">
                            <w:pPr>
                              <w:rPr>
                                <w:b/>
                                <w:sz w:val="28"/>
                                <w:szCs w:val="28"/>
                              </w:rPr>
                            </w:pPr>
                            <w:r w:rsidRPr="008275FA">
                              <w:rPr>
                                <w:b/>
                                <w:sz w:val="28"/>
                                <w:szCs w:val="28"/>
                              </w:rPr>
                              <w:t xml:space="preserve">Dorothy Brandon and Ronnie Humphrey </w:t>
                            </w:r>
                            <w:r w:rsidR="004B2094">
                              <w:rPr>
                                <w:b/>
                                <w:sz w:val="28"/>
                                <w:szCs w:val="28"/>
                              </w:rPr>
                              <w:t>I</w:t>
                            </w:r>
                            <w:bookmarkStart w:id="0" w:name="_GoBack"/>
                            <w:bookmarkEnd w:id="0"/>
                            <w:r w:rsidRPr="008275FA">
                              <w:rPr>
                                <w:b/>
                                <w:sz w:val="28"/>
                                <w:szCs w:val="28"/>
                              </w:rPr>
                              <w:t>I, Alabama A&amp;</w:t>
                            </w:r>
                            <w:r>
                              <w:rPr>
                                <w:b/>
                                <w:sz w:val="28"/>
                                <w:szCs w:val="28"/>
                              </w:rPr>
                              <w:t>M</w:t>
                            </w:r>
                            <w:r w:rsidRPr="008275FA">
                              <w:rPr>
                                <w:b/>
                                <w:sz w:val="28"/>
                                <w:szCs w:val="28"/>
                              </w:rPr>
                              <w:t xml:space="preserve"> University</w:t>
                            </w:r>
                          </w:p>
                          <w:p w14:paraId="4BA9DB9B" w14:textId="76BAB2A4" w:rsidR="008275FA" w:rsidRPr="008275FA" w:rsidRDefault="008275FA" w:rsidP="003D3EF4">
                            <w:pPr>
                              <w:rPr>
                                <w:b/>
                                <w:sz w:val="28"/>
                                <w:szCs w:val="28"/>
                              </w:rPr>
                            </w:pPr>
                            <w:r>
                              <w:rPr>
                                <w:b/>
                                <w:sz w:val="28"/>
                                <w:szCs w:val="28"/>
                              </w:rPr>
                              <w:t>Kimberly Griffin and Anthony Willey, University of Vermont</w:t>
                            </w:r>
                          </w:p>
                          <w:p w14:paraId="3F797832" w14:textId="77777777" w:rsidR="008275FA" w:rsidRPr="008275FA" w:rsidRDefault="008275FA" w:rsidP="003D3EF4">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FA165" id="_x0000_t202" coordsize="21600,21600" o:spt="202" path="m,l,21600r21600,l21600,xe">
                <v:stroke joinstyle="miter"/>
                <v:path gradientshapeok="t" o:connecttype="rect"/>
              </v:shapetype>
              <v:shape id="Text Box 2" o:spid="_x0000_s1026" type="#_x0000_t202" style="position:absolute;margin-left:76.5pt;margin-top:-33.5pt;width:454.8pt;height:1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" filled="f" stroked="f">
                <v:textbox>
                  <w:txbxContent>
                    <w:p w14:paraId="0617B607" w14:textId="49EA5357" w:rsidR="00B53D71" w:rsidRDefault="008275FA" w:rsidP="00DF3584">
                      <w:pPr>
                        <w:rPr>
                          <w:b/>
                          <w:sz w:val="32"/>
                          <w:szCs w:val="32"/>
                        </w:rPr>
                      </w:pPr>
                      <w:r>
                        <w:rPr>
                          <w:rFonts w:cstheme="minorHAnsi"/>
                          <w:b/>
                          <w:color w:val="000000"/>
                          <w:sz w:val="38"/>
                          <w:szCs w:val="38"/>
                          <w:shd w:val="clear" w:color="auto" w:fill="FFFFFF"/>
                        </w:rPr>
                        <w:t>Show Me the Money! Exploring Universities’ Fund Development Policies and Practices</w:t>
                      </w:r>
                    </w:p>
                    <w:p w14:paraId="56AEED9A" w14:textId="745BCF54" w:rsidR="00DF3584" w:rsidRPr="00B53D71" w:rsidRDefault="008275FA" w:rsidP="00DF3584">
                      <w:pPr>
                        <w:rPr>
                          <w:b/>
                          <w:sz w:val="32"/>
                          <w:szCs w:val="32"/>
                        </w:rPr>
                      </w:pPr>
                      <w:r>
                        <w:rPr>
                          <w:b/>
                          <w:sz w:val="32"/>
                          <w:szCs w:val="32"/>
                        </w:rPr>
                        <w:t>May 6</w:t>
                      </w:r>
                      <w:r w:rsidR="00A45EEF" w:rsidRPr="00B53D71">
                        <w:rPr>
                          <w:b/>
                          <w:sz w:val="32"/>
                          <w:szCs w:val="32"/>
                        </w:rPr>
                        <w:t>, 201</w:t>
                      </w:r>
                      <w:r>
                        <w:rPr>
                          <w:b/>
                          <w:sz w:val="32"/>
                          <w:szCs w:val="32"/>
                        </w:rPr>
                        <w:t>9</w:t>
                      </w:r>
                      <w:r w:rsidR="00A45EEF" w:rsidRPr="00B53D71">
                        <w:rPr>
                          <w:b/>
                          <w:sz w:val="32"/>
                          <w:szCs w:val="32"/>
                        </w:rPr>
                        <w:t xml:space="preserve"> at </w:t>
                      </w:r>
                      <w:r>
                        <w:rPr>
                          <w:b/>
                          <w:sz w:val="32"/>
                          <w:szCs w:val="32"/>
                        </w:rPr>
                        <w:t xml:space="preserve">1:30 </w:t>
                      </w:r>
                      <w:r w:rsidR="00DF3584" w:rsidRPr="00B53D71">
                        <w:rPr>
                          <w:b/>
                          <w:sz w:val="32"/>
                          <w:szCs w:val="32"/>
                        </w:rPr>
                        <w:t>p.m. E</w:t>
                      </w:r>
                      <w:r>
                        <w:rPr>
                          <w:b/>
                          <w:sz w:val="32"/>
                          <w:szCs w:val="32"/>
                        </w:rPr>
                        <w:t>D</w:t>
                      </w:r>
                      <w:r w:rsidR="00DF3584" w:rsidRPr="00B53D71">
                        <w:rPr>
                          <w:b/>
                          <w:sz w:val="32"/>
                          <w:szCs w:val="32"/>
                        </w:rPr>
                        <w:t>T</w:t>
                      </w:r>
                    </w:p>
                    <w:p w14:paraId="56FB990E" w14:textId="3A00462F" w:rsidR="00A1045B" w:rsidRPr="008275FA" w:rsidRDefault="008275FA" w:rsidP="003D3EF4">
                      <w:pPr>
                        <w:rPr>
                          <w:b/>
                          <w:sz w:val="32"/>
                          <w:szCs w:val="32"/>
                        </w:rPr>
                      </w:pPr>
                      <w:r w:rsidRPr="008275FA">
                        <w:rPr>
                          <w:b/>
                          <w:sz w:val="32"/>
                          <w:szCs w:val="32"/>
                        </w:rPr>
                        <w:t>Presenters:</w:t>
                      </w:r>
                    </w:p>
                    <w:p w14:paraId="37915BAE" w14:textId="75CD0CD6" w:rsidR="008275FA" w:rsidRPr="008275FA" w:rsidRDefault="008275FA" w:rsidP="003D3EF4">
                      <w:pPr>
                        <w:rPr>
                          <w:b/>
                          <w:sz w:val="28"/>
                          <w:szCs w:val="28"/>
                        </w:rPr>
                      </w:pPr>
                      <w:r w:rsidRPr="008275FA">
                        <w:rPr>
                          <w:b/>
                          <w:sz w:val="28"/>
                          <w:szCs w:val="28"/>
                        </w:rPr>
                        <w:t>Autumn Guin and Susan Colby, North Carolina State University</w:t>
                      </w:r>
                    </w:p>
                    <w:p w14:paraId="56725FA2" w14:textId="12B8614B" w:rsidR="008275FA" w:rsidRDefault="008275FA" w:rsidP="003D3EF4">
                      <w:pPr>
                        <w:rPr>
                          <w:b/>
                          <w:sz w:val="28"/>
                          <w:szCs w:val="28"/>
                        </w:rPr>
                      </w:pPr>
                      <w:r w:rsidRPr="008275FA">
                        <w:rPr>
                          <w:b/>
                          <w:sz w:val="28"/>
                          <w:szCs w:val="28"/>
                        </w:rPr>
                        <w:t xml:space="preserve">Dorothy Brandon and Ronnie Humphrey </w:t>
                      </w:r>
                      <w:r w:rsidR="004B2094">
                        <w:rPr>
                          <w:b/>
                          <w:sz w:val="28"/>
                          <w:szCs w:val="28"/>
                        </w:rPr>
                        <w:t>I</w:t>
                      </w:r>
                      <w:bookmarkStart w:id="1" w:name="_GoBack"/>
                      <w:bookmarkEnd w:id="1"/>
                      <w:r w:rsidRPr="008275FA">
                        <w:rPr>
                          <w:b/>
                          <w:sz w:val="28"/>
                          <w:szCs w:val="28"/>
                        </w:rPr>
                        <w:t>I, Alabama A&amp;</w:t>
                      </w:r>
                      <w:r>
                        <w:rPr>
                          <w:b/>
                          <w:sz w:val="28"/>
                          <w:szCs w:val="28"/>
                        </w:rPr>
                        <w:t>M</w:t>
                      </w:r>
                      <w:r w:rsidRPr="008275FA">
                        <w:rPr>
                          <w:b/>
                          <w:sz w:val="28"/>
                          <w:szCs w:val="28"/>
                        </w:rPr>
                        <w:t xml:space="preserve"> University</w:t>
                      </w:r>
                    </w:p>
                    <w:p w14:paraId="4BA9DB9B" w14:textId="76BAB2A4" w:rsidR="008275FA" w:rsidRPr="008275FA" w:rsidRDefault="008275FA" w:rsidP="003D3EF4">
                      <w:pPr>
                        <w:rPr>
                          <w:b/>
                          <w:sz w:val="28"/>
                          <w:szCs w:val="28"/>
                        </w:rPr>
                      </w:pPr>
                      <w:r>
                        <w:rPr>
                          <w:b/>
                          <w:sz w:val="28"/>
                          <w:szCs w:val="28"/>
                        </w:rPr>
                        <w:t>Kimberly Griffin and Anthony Willey, University of Vermont</w:t>
                      </w:r>
                    </w:p>
                    <w:p w14:paraId="3F797832" w14:textId="77777777" w:rsidR="008275FA" w:rsidRPr="008275FA" w:rsidRDefault="008275FA" w:rsidP="003D3EF4">
                      <w:pPr>
                        <w:rPr>
                          <w:b/>
                          <w:sz w:val="28"/>
                          <w:szCs w:val="28"/>
                        </w:rPr>
                      </w:pPr>
                    </w:p>
                  </w:txbxContent>
                </v:textbox>
              </v:shape>
            </w:pict>
          </mc:Fallback>
        </mc:AlternateContent>
      </w:r>
      <w:r w:rsidR="00DF3584">
        <w:rPr>
          <w:noProof/>
        </w:rPr>
        <w:drawing>
          <wp:anchor distT="0" distB="0" distL="114300" distR="114300" simplePos="0" relativeHeight="251667456" behindDoc="0" locked="0" layoutInCell="1" allowOverlap="1" wp14:anchorId="0D93D509" wp14:editId="7B6072C3">
            <wp:simplePos x="0" y="0"/>
            <wp:positionH relativeFrom="column">
              <wp:posOffset>-616755</wp:posOffset>
            </wp:positionH>
            <wp:positionV relativeFrom="page">
              <wp:posOffset>467995</wp:posOffset>
            </wp:positionV>
            <wp:extent cx="1588770" cy="698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CYFAR_PDTA_CENTER_LOGO_1-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8770" cy="698500"/>
                    </a:xfrm>
                    <a:prstGeom prst="rect">
                      <a:avLst/>
                    </a:prstGeom>
                  </pic:spPr>
                </pic:pic>
              </a:graphicData>
            </a:graphic>
            <wp14:sizeRelH relativeFrom="margin">
              <wp14:pctWidth>0</wp14:pctWidth>
            </wp14:sizeRelH>
            <wp14:sizeRelV relativeFrom="margin">
              <wp14:pctHeight>0</wp14:pctHeight>
            </wp14:sizeRelV>
          </wp:anchor>
        </w:drawing>
      </w:r>
    </w:p>
    <w:p w14:paraId="14F9B0F4" w14:textId="77777777" w:rsidR="00A1045B" w:rsidRDefault="00A1045B">
      <w:pPr>
        <w:rPr>
          <w:b/>
        </w:rPr>
      </w:pPr>
    </w:p>
    <w:p w14:paraId="4A063B62" w14:textId="77777777" w:rsidR="00A1045B" w:rsidRDefault="00A1045B">
      <w:pPr>
        <w:rPr>
          <w:b/>
        </w:rPr>
      </w:pPr>
    </w:p>
    <w:p w14:paraId="6C210806" w14:textId="77777777" w:rsidR="008300C8" w:rsidRDefault="00A1045B">
      <w:pPr>
        <w:rPr>
          <w:b/>
        </w:rPr>
      </w:pPr>
      <w:r>
        <w:rPr>
          <w:noProof/>
        </w:rPr>
        <w:drawing>
          <wp:anchor distT="0" distB="0" distL="114300" distR="114300" simplePos="0" relativeHeight="251664384" behindDoc="0" locked="0" layoutInCell="1" allowOverlap="1" wp14:anchorId="43E2D098" wp14:editId="6F6924D8">
            <wp:simplePos x="0" y="0"/>
            <wp:positionH relativeFrom="column">
              <wp:posOffset>2725420</wp:posOffset>
            </wp:positionH>
            <wp:positionV relativeFrom="paragraph">
              <wp:posOffset>7776845</wp:posOffset>
            </wp:positionV>
            <wp:extent cx="575945" cy="393065"/>
            <wp:effectExtent l="0" t="0" r="0" b="6985"/>
            <wp:wrapNone/>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75945" cy="39306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2FB75334" wp14:editId="26FFB88D">
            <wp:simplePos x="0" y="0"/>
            <wp:positionH relativeFrom="column">
              <wp:posOffset>110134</wp:posOffset>
            </wp:positionH>
            <wp:positionV relativeFrom="paragraph">
              <wp:posOffset>7766050</wp:posOffset>
            </wp:positionV>
            <wp:extent cx="1150620" cy="422910"/>
            <wp:effectExtent l="0" t="0" r="0" b="0"/>
            <wp:wrapNone/>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B57B7B7" wp14:editId="2F2FADB1">
            <wp:simplePos x="0" y="0"/>
            <wp:positionH relativeFrom="column">
              <wp:posOffset>4822825</wp:posOffset>
            </wp:positionH>
            <wp:positionV relativeFrom="paragraph">
              <wp:posOffset>7783675</wp:posOffset>
            </wp:positionV>
            <wp:extent cx="1204595" cy="394970"/>
            <wp:effectExtent l="0" t="0" r="0"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595" cy="394970"/>
                    </a:xfrm>
                    <a:prstGeom prst="rect">
                      <a:avLst/>
                    </a:prstGeom>
                  </pic:spPr>
                </pic:pic>
              </a:graphicData>
            </a:graphic>
            <wp14:sizeRelH relativeFrom="margin">
              <wp14:pctWidth>0</wp14:pctWidth>
            </wp14:sizeRelH>
            <wp14:sizeRelV relativeFrom="margin">
              <wp14:pctHeight>0</wp14:pctHeight>
            </wp14:sizeRelV>
          </wp:anchor>
        </w:drawing>
      </w:r>
      <w:r w:rsidR="00B53D71">
        <w:rPr>
          <w:noProof/>
        </w:rPr>
        <mc:AlternateContent>
          <mc:Choice Requires="wps">
            <w:drawing>
              <wp:anchor distT="45720" distB="45720" distL="114300" distR="114300" simplePos="0" relativeHeight="251671552" behindDoc="0" locked="0" layoutInCell="1" allowOverlap="1" wp14:anchorId="53271A58" wp14:editId="1E2A80E8">
                <wp:simplePos x="0" y="0"/>
                <wp:positionH relativeFrom="column">
                  <wp:posOffset>-88420</wp:posOffset>
                </wp:positionH>
                <wp:positionV relativeFrom="paragraph">
                  <wp:posOffset>7091540</wp:posOffset>
                </wp:positionV>
                <wp:extent cx="6111132" cy="63562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132" cy="635620"/>
                        </a:xfrm>
                        <a:prstGeom prst="rect">
                          <a:avLst/>
                        </a:prstGeom>
                        <a:solidFill>
                          <a:srgbClr val="FFFFFF"/>
                        </a:solidFill>
                        <a:ln w="9525">
                          <a:noFill/>
                          <a:miter lim="800000"/>
                          <a:headEnd/>
                          <a:tailEnd/>
                        </a:ln>
                      </wps:spPr>
                      <wps:txbx>
                        <w:txbxContent>
                          <w:p w14:paraId="5E3A9088" w14:textId="77777777" w:rsidR="003D3EF4" w:rsidRPr="000C677C" w:rsidRDefault="003D3EF4" w:rsidP="003D3EF4">
                            <w:pPr>
                              <w:shd w:val="clear" w:color="auto" w:fill="FFFFFF"/>
                              <w:jc w:val="center"/>
                              <w:rPr>
                                <w:rFonts w:eastAsia="Times New Roman" w:cstheme="minorHAnsi"/>
                                <w:color w:val="373545"/>
                                <w:sz w:val="16"/>
                                <w:szCs w:val="16"/>
                              </w:rPr>
                            </w:pPr>
                            <w:r w:rsidRPr="000C677C">
                              <w:rPr>
                                <w:rFonts w:eastAsia="Times New Roman" w:cstheme="minorHAnsi"/>
                                <w:color w:val="000000"/>
                                <w:sz w:val="16"/>
                                <w:szCs w:val="16"/>
                              </w:rPr>
                              <w:t>This document was prepared by the Children, Youth, and Families At-Risk (CYFAR) Professional Development and Technical Assistance (PDTA) Cente</w:t>
                            </w:r>
                            <w:r w:rsidRPr="003D3EF4">
                              <w:rPr>
                                <w:rFonts w:eastAsia="Times New Roman" w:cstheme="minorHAnsi"/>
                                <w:color w:val="000000"/>
                                <w:sz w:val="16"/>
                                <w:szCs w:val="16"/>
                              </w:rPr>
                              <w:t>r</w:t>
                            </w:r>
                            <w:r w:rsidRPr="003D3EF4">
                              <w:rPr>
                                <w:rFonts w:cstheme="minorHAnsi"/>
                                <w:color w:val="000000"/>
                                <w:sz w:val="16"/>
                                <w:szCs w:val="16"/>
                                <w:shd w:val="clear" w:color="auto" w:fill="FFFFFF"/>
                              </w:rPr>
                              <w:t xml:space="preserve"> as a resource for CYFAR Sustainable Community Projects (SCP). The CYFAR PDTA Center has been developed in</w:t>
                            </w:r>
                            <w:r w:rsidRPr="003D3EF4">
                              <w:rPr>
                                <w:rFonts w:eastAsia="Times New Roman" w:cstheme="minorHAnsi"/>
                                <w:color w:val="000000"/>
                                <w:sz w:val="16"/>
                                <w:szCs w:val="16"/>
                              </w:rPr>
                              <w:t xml:space="preserve"> </w:t>
                            </w:r>
                            <w:r w:rsidRPr="000C677C">
                              <w:rPr>
                                <w:rFonts w:eastAsia="Times New Roman" w:cstheme="minorHAnsi"/>
                                <w:color w:val="000000"/>
                                <w:sz w:val="16"/>
                                <w:szCs w:val="16"/>
                                <w:shd w:val="clear" w:color="auto" w:fill="FFFFFF"/>
                              </w:rPr>
                              <w:t>collaboration with the United States Department of Agriculture’s National Institute of Food and Agriculture (USDA-NIFA) through a cooperative agreement with the </w:t>
                            </w:r>
                            <w:r w:rsidRPr="000C677C">
                              <w:rPr>
                                <w:rFonts w:eastAsia="Times New Roman" w:cstheme="minorHAnsi"/>
                                <w:color w:val="000000"/>
                                <w:sz w:val="16"/>
                                <w:szCs w:val="16"/>
                              </w:rPr>
                              <w:t>University of Minnesota and Pennsylvania State University under award number </w:t>
                            </w:r>
                            <w:r w:rsidRPr="000C677C">
                              <w:rPr>
                                <w:rFonts w:eastAsia="Times New Roman" w:cstheme="minorHAnsi"/>
                                <w:color w:val="000000"/>
                                <w:sz w:val="16"/>
                                <w:szCs w:val="16"/>
                                <w:shd w:val="clear" w:color="auto" w:fill="FFFFFF"/>
                              </w:rPr>
                              <w:t>2018-41520-28908</w:t>
                            </w:r>
                            <w:r w:rsidRPr="000C677C">
                              <w:rPr>
                                <w:rFonts w:eastAsia="Times New Roman" w:cstheme="minorHAnsi"/>
                                <w:color w:val="000000"/>
                                <w:sz w:val="16"/>
                                <w:szCs w:val="16"/>
                              </w:rPr>
                              <w:t>.</w:t>
                            </w:r>
                          </w:p>
                          <w:p w14:paraId="07C7882D" w14:textId="77777777" w:rsidR="003D3EF4" w:rsidRPr="000C677C" w:rsidRDefault="003D3EF4" w:rsidP="003D3EF4">
                            <w:pPr>
                              <w:spacing w:after="160" w:line="259" w:lineRule="auto"/>
                              <w:rPr>
                                <w:sz w:val="16"/>
                                <w:szCs w:val="16"/>
                              </w:rPr>
                            </w:pPr>
                          </w:p>
                          <w:p w14:paraId="0CBFE6DD" w14:textId="77777777" w:rsidR="003D3EF4" w:rsidRDefault="003D3EF4" w:rsidP="003D3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71A58" id="_x0000_s1027" type="#_x0000_t202" style="position:absolute;margin-left:-6.95pt;margin-top:558.4pt;width:481.2pt;height:5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" stroked="f">
                <v:textbox>
                  <w:txbxContent>
                    <w:p w14:paraId="5E3A9088" w14:textId="77777777" w:rsidR="003D3EF4" w:rsidRPr="000C677C" w:rsidRDefault="003D3EF4" w:rsidP="003D3EF4">
                      <w:pPr>
                        <w:shd w:val="clear" w:color="auto" w:fill="FFFFFF"/>
                        <w:jc w:val="center"/>
                        <w:rPr>
                          <w:rFonts w:eastAsia="Times New Roman" w:cstheme="minorHAnsi"/>
                          <w:color w:val="373545"/>
                          <w:sz w:val="16"/>
                          <w:szCs w:val="16"/>
                        </w:rPr>
                      </w:pPr>
                      <w:r w:rsidRPr="000C677C">
                        <w:rPr>
                          <w:rFonts w:eastAsia="Times New Roman" w:cstheme="minorHAnsi"/>
                          <w:color w:val="000000"/>
                          <w:sz w:val="16"/>
                          <w:szCs w:val="16"/>
                        </w:rPr>
                        <w:t>This document was prepared by the Children, Youth, and Families At-Risk (CYFAR) Professional Development and Technical Assistance (PDTA) Cente</w:t>
                      </w:r>
                      <w:r w:rsidRPr="003D3EF4">
                        <w:rPr>
                          <w:rFonts w:eastAsia="Times New Roman" w:cstheme="minorHAnsi"/>
                          <w:color w:val="000000"/>
                          <w:sz w:val="16"/>
                          <w:szCs w:val="16"/>
                        </w:rPr>
                        <w:t>r</w:t>
                      </w:r>
                      <w:r w:rsidRPr="003D3EF4">
                        <w:rPr>
                          <w:rFonts w:cstheme="minorHAnsi"/>
                          <w:color w:val="000000"/>
                          <w:sz w:val="16"/>
                          <w:szCs w:val="16"/>
                          <w:shd w:val="clear" w:color="auto" w:fill="FFFFFF"/>
                        </w:rPr>
                        <w:t xml:space="preserve"> as a resource for CYFAR Sustainable Community Projects (SCP). The CYFAR PDTA Center has been developed in</w:t>
                      </w:r>
                      <w:r w:rsidRPr="003D3EF4">
                        <w:rPr>
                          <w:rFonts w:eastAsia="Times New Roman" w:cstheme="minorHAnsi"/>
                          <w:color w:val="000000"/>
                          <w:sz w:val="16"/>
                          <w:szCs w:val="16"/>
                        </w:rPr>
                        <w:t xml:space="preserve"> </w:t>
                      </w:r>
                      <w:r w:rsidRPr="000C677C">
                        <w:rPr>
                          <w:rFonts w:eastAsia="Times New Roman" w:cstheme="minorHAnsi"/>
                          <w:color w:val="000000"/>
                          <w:sz w:val="16"/>
                          <w:szCs w:val="16"/>
                          <w:shd w:val="clear" w:color="auto" w:fill="FFFFFF"/>
                        </w:rPr>
                        <w:t>collaboration with the United States Department of Agriculture’s National Institute of Food and Agriculture (USDA-NIFA) through a cooperative agreement with the </w:t>
                      </w:r>
                      <w:r w:rsidRPr="000C677C">
                        <w:rPr>
                          <w:rFonts w:eastAsia="Times New Roman" w:cstheme="minorHAnsi"/>
                          <w:color w:val="000000"/>
                          <w:sz w:val="16"/>
                          <w:szCs w:val="16"/>
                        </w:rPr>
                        <w:t>University of Minnesota and Pennsylvania State University under award number </w:t>
                      </w:r>
                      <w:r w:rsidRPr="000C677C">
                        <w:rPr>
                          <w:rFonts w:eastAsia="Times New Roman" w:cstheme="minorHAnsi"/>
                          <w:color w:val="000000"/>
                          <w:sz w:val="16"/>
                          <w:szCs w:val="16"/>
                          <w:shd w:val="clear" w:color="auto" w:fill="FFFFFF"/>
                        </w:rPr>
                        <w:t>2018-41520-28908</w:t>
                      </w:r>
                      <w:r w:rsidRPr="000C677C">
                        <w:rPr>
                          <w:rFonts w:eastAsia="Times New Roman" w:cstheme="minorHAnsi"/>
                          <w:color w:val="000000"/>
                          <w:sz w:val="16"/>
                          <w:szCs w:val="16"/>
                        </w:rPr>
                        <w:t>.</w:t>
                      </w:r>
                    </w:p>
                    <w:p w14:paraId="07C7882D" w14:textId="77777777" w:rsidR="003D3EF4" w:rsidRPr="000C677C" w:rsidRDefault="003D3EF4" w:rsidP="003D3EF4">
                      <w:pPr>
                        <w:spacing w:after="160" w:line="259" w:lineRule="auto"/>
                        <w:rPr>
                          <w:sz w:val="16"/>
                          <w:szCs w:val="16"/>
                        </w:rPr>
                      </w:pPr>
                    </w:p>
                    <w:p w14:paraId="0CBFE6DD" w14:textId="77777777" w:rsidR="003D3EF4" w:rsidRDefault="003D3EF4" w:rsidP="003D3EF4"/>
                  </w:txbxContent>
                </v:textbox>
              </v:shape>
            </w:pict>
          </mc:Fallback>
        </mc:AlternateContent>
      </w:r>
      <w:r w:rsidR="00B53D71">
        <w:rPr>
          <w:b/>
        </w:rPr>
        <w:t xml:space="preserve"> </w:t>
      </w:r>
    </w:p>
    <w:p w14:paraId="4A3DBDD3" w14:textId="77777777" w:rsidR="00B53D71" w:rsidRDefault="00B53D71">
      <w:pPr>
        <w:rPr>
          <w:b/>
        </w:rPr>
      </w:pPr>
    </w:p>
    <w:p w14:paraId="3DA81401" w14:textId="77777777" w:rsidR="00B53D71" w:rsidRDefault="00B53D71">
      <w:pPr>
        <w:rPr>
          <w:b/>
        </w:rPr>
      </w:pPr>
    </w:p>
    <w:tbl>
      <w:tblPr>
        <w:tblStyle w:val="TableGrid"/>
        <w:tblpPr w:leftFromText="180" w:rightFromText="180" w:vertAnchor="text" w:horzAnchor="margin" w:tblpY="904"/>
        <w:tblW w:w="0" w:type="auto"/>
        <w:tblLook w:val="04A0" w:firstRow="1" w:lastRow="0" w:firstColumn="1" w:lastColumn="0" w:noHBand="0" w:noVBand="1"/>
      </w:tblPr>
      <w:tblGrid>
        <w:gridCol w:w="9350"/>
      </w:tblGrid>
      <w:tr w:rsidR="00B53D71" w14:paraId="49106A7C" w14:textId="77777777" w:rsidTr="0043515C">
        <w:tc>
          <w:tcPr>
            <w:tcW w:w="9350" w:type="dxa"/>
          </w:tcPr>
          <w:p w14:paraId="741447B9" w14:textId="77777777" w:rsidR="00B53D71" w:rsidRPr="000C677C" w:rsidRDefault="00B53D71" w:rsidP="0043515C">
            <w:pPr>
              <w:jc w:val="center"/>
              <w:rPr>
                <w:b/>
              </w:rPr>
            </w:pPr>
            <w:r w:rsidRPr="000C677C">
              <w:rPr>
                <w:b/>
              </w:rPr>
              <w:t>What will participants learn from this webinar?</w:t>
            </w:r>
          </w:p>
        </w:tc>
      </w:tr>
      <w:tr w:rsidR="00B53D71" w14:paraId="2B5ADD67" w14:textId="77777777" w:rsidTr="0043515C">
        <w:tc>
          <w:tcPr>
            <w:tcW w:w="9350" w:type="dxa"/>
            <w:tcBorders>
              <w:bottom w:val="single" w:sz="4" w:space="0" w:color="auto"/>
            </w:tcBorders>
          </w:tcPr>
          <w:p w14:paraId="15D1EEA4" w14:textId="77777777" w:rsidR="00B53D71" w:rsidRDefault="00B53D71" w:rsidP="0043515C"/>
          <w:p w14:paraId="31BCCA05" w14:textId="59387838" w:rsidR="00B53D71" w:rsidRDefault="00B53D71" w:rsidP="0043515C">
            <w:pPr>
              <w:rPr>
                <w:rFonts w:ascii="Arial" w:hAnsi="Arial" w:cs="Arial"/>
                <w:sz w:val="20"/>
              </w:rPr>
            </w:pPr>
            <w:r w:rsidRPr="00A8400E">
              <w:rPr>
                <w:rFonts w:ascii="Arial" w:hAnsi="Arial" w:cs="Arial"/>
                <w:sz w:val="20"/>
              </w:rPr>
              <w:t>Participants will learn:</w:t>
            </w:r>
          </w:p>
          <w:p w14:paraId="6668E1CB" w14:textId="77777777" w:rsidR="00984469" w:rsidRDefault="00984469" w:rsidP="0043515C">
            <w:pPr>
              <w:rPr>
                <w:rFonts w:ascii="Arial" w:hAnsi="Arial" w:cs="Arial"/>
                <w:sz w:val="20"/>
              </w:rPr>
            </w:pPr>
          </w:p>
          <w:p w14:paraId="7E8C79C7" w14:textId="54807B0F" w:rsidR="00B53D71" w:rsidRDefault="00984469" w:rsidP="0043515C">
            <w:pPr>
              <w:pStyle w:val="ListParagraph"/>
              <w:numPr>
                <w:ilvl w:val="0"/>
                <w:numId w:val="1"/>
              </w:numPr>
              <w:rPr>
                <w:rFonts w:ascii="Arial" w:hAnsi="Arial" w:cs="Arial"/>
                <w:sz w:val="20"/>
              </w:rPr>
            </w:pPr>
            <w:r>
              <w:rPr>
                <w:rFonts w:ascii="Arial" w:hAnsi="Arial" w:cs="Arial"/>
                <w:sz w:val="20"/>
              </w:rPr>
              <w:t>tactics</w:t>
            </w:r>
            <w:r w:rsidR="008275FA">
              <w:rPr>
                <w:rFonts w:ascii="Arial" w:hAnsi="Arial" w:cs="Arial"/>
                <w:sz w:val="20"/>
              </w:rPr>
              <w:t xml:space="preserve"> used by current CYFAR Sustainable Community Projects </w:t>
            </w:r>
            <w:r>
              <w:rPr>
                <w:rFonts w:ascii="Arial" w:hAnsi="Arial" w:cs="Arial"/>
                <w:sz w:val="20"/>
              </w:rPr>
              <w:t xml:space="preserve">(SCP) </w:t>
            </w:r>
            <w:r w:rsidR="008275FA">
              <w:rPr>
                <w:rFonts w:ascii="Arial" w:hAnsi="Arial" w:cs="Arial"/>
                <w:sz w:val="20"/>
              </w:rPr>
              <w:t>grantees to secure financial and in-kind support</w:t>
            </w:r>
            <w:r>
              <w:rPr>
                <w:rFonts w:ascii="Arial" w:hAnsi="Arial" w:cs="Arial"/>
                <w:sz w:val="20"/>
              </w:rPr>
              <w:t>;</w:t>
            </w:r>
          </w:p>
          <w:p w14:paraId="07B5AEC2" w14:textId="3269EBD4" w:rsidR="008275FA" w:rsidRDefault="008275FA" w:rsidP="0043515C">
            <w:pPr>
              <w:pStyle w:val="ListParagraph"/>
              <w:numPr>
                <w:ilvl w:val="0"/>
                <w:numId w:val="1"/>
              </w:numPr>
              <w:rPr>
                <w:rFonts w:ascii="Arial" w:hAnsi="Arial" w:cs="Arial"/>
                <w:sz w:val="20"/>
              </w:rPr>
            </w:pPr>
            <w:r>
              <w:rPr>
                <w:rFonts w:ascii="Arial" w:hAnsi="Arial" w:cs="Arial"/>
                <w:sz w:val="20"/>
              </w:rPr>
              <w:t>four strategies for fund development</w:t>
            </w:r>
            <w:r w:rsidR="00984469">
              <w:rPr>
                <w:rFonts w:ascii="Arial" w:hAnsi="Arial" w:cs="Arial"/>
                <w:sz w:val="20"/>
              </w:rPr>
              <w:t xml:space="preserve"> (Share, Ask, Charge, Earn);</w:t>
            </w:r>
          </w:p>
          <w:p w14:paraId="35EBEE5F" w14:textId="30FD529D" w:rsidR="00B53D71" w:rsidRPr="008275FA" w:rsidRDefault="008275FA" w:rsidP="008275FA">
            <w:pPr>
              <w:pStyle w:val="ListParagraph"/>
              <w:numPr>
                <w:ilvl w:val="0"/>
                <w:numId w:val="1"/>
              </w:numPr>
            </w:pPr>
            <w:r>
              <w:rPr>
                <w:rFonts w:ascii="Arial" w:hAnsi="Arial" w:cs="Arial"/>
                <w:sz w:val="20"/>
              </w:rPr>
              <w:t>ways to engage their university resource, advancement and development offices in securing project funding</w:t>
            </w:r>
            <w:r w:rsidR="00984469">
              <w:rPr>
                <w:rFonts w:ascii="Arial" w:hAnsi="Arial" w:cs="Arial"/>
                <w:sz w:val="20"/>
              </w:rPr>
              <w:t>; and</w:t>
            </w:r>
          </w:p>
          <w:p w14:paraId="10F9C648" w14:textId="01570D35" w:rsidR="008275FA" w:rsidRPr="00984469" w:rsidRDefault="008275FA" w:rsidP="008275FA">
            <w:pPr>
              <w:pStyle w:val="ListParagraph"/>
              <w:numPr>
                <w:ilvl w:val="0"/>
                <w:numId w:val="1"/>
              </w:numPr>
            </w:pPr>
            <w:r>
              <w:rPr>
                <w:rFonts w:ascii="Arial" w:hAnsi="Arial" w:cs="Arial"/>
                <w:sz w:val="20"/>
              </w:rPr>
              <w:t>the importance of and tools for communicating impact to potential funders</w:t>
            </w:r>
            <w:r w:rsidR="00984469">
              <w:rPr>
                <w:rFonts w:ascii="Arial" w:hAnsi="Arial" w:cs="Arial"/>
                <w:sz w:val="20"/>
              </w:rPr>
              <w:t>.</w:t>
            </w:r>
          </w:p>
          <w:p w14:paraId="6E28B955" w14:textId="6B82B8D5" w:rsidR="00984469" w:rsidRDefault="00984469" w:rsidP="00984469">
            <w:pPr>
              <w:pStyle w:val="ListParagraph"/>
            </w:pPr>
          </w:p>
        </w:tc>
      </w:tr>
      <w:tr w:rsidR="00B53D71" w14:paraId="27B9D669" w14:textId="77777777" w:rsidTr="0043515C">
        <w:tc>
          <w:tcPr>
            <w:tcW w:w="9350" w:type="dxa"/>
            <w:tcBorders>
              <w:left w:val="nil"/>
              <w:right w:val="nil"/>
            </w:tcBorders>
          </w:tcPr>
          <w:p w14:paraId="57EC8512" w14:textId="77777777" w:rsidR="00B53D71" w:rsidRPr="00343285" w:rsidRDefault="00B53D71" w:rsidP="0043515C">
            <w:pPr>
              <w:rPr>
                <w:sz w:val="8"/>
              </w:rPr>
            </w:pPr>
          </w:p>
        </w:tc>
      </w:tr>
      <w:tr w:rsidR="00B53D71" w14:paraId="3FFE8334" w14:textId="77777777" w:rsidTr="0043515C">
        <w:tc>
          <w:tcPr>
            <w:tcW w:w="9350" w:type="dxa"/>
          </w:tcPr>
          <w:p w14:paraId="1F634FF1" w14:textId="77777777" w:rsidR="00B53D71" w:rsidRPr="000C677C" w:rsidRDefault="00B53D71" w:rsidP="0043515C">
            <w:pPr>
              <w:jc w:val="center"/>
              <w:rPr>
                <w:b/>
              </w:rPr>
            </w:pPr>
            <w:r w:rsidRPr="000C677C">
              <w:rPr>
                <w:b/>
              </w:rPr>
              <w:t>What critical findings or research is the basis for the presentation content?</w:t>
            </w:r>
          </w:p>
        </w:tc>
      </w:tr>
      <w:tr w:rsidR="00B53D71" w14:paraId="1FF894CB" w14:textId="77777777" w:rsidTr="0043515C">
        <w:trPr>
          <w:trHeight w:val="2612"/>
        </w:trPr>
        <w:tc>
          <w:tcPr>
            <w:tcW w:w="9350" w:type="dxa"/>
            <w:tcBorders>
              <w:bottom w:val="single" w:sz="4" w:space="0" w:color="auto"/>
            </w:tcBorders>
          </w:tcPr>
          <w:p w14:paraId="21FC33A4" w14:textId="77777777" w:rsidR="00B53D71" w:rsidRDefault="00B53D71" w:rsidP="0043515C"/>
          <w:p w14:paraId="7481411B" w14:textId="77777777" w:rsidR="00B53D71" w:rsidRDefault="008275FA" w:rsidP="001124C1">
            <w:pPr>
              <w:pStyle w:val="NoSpacing"/>
              <w:rPr>
                <w:rFonts w:ascii="Arial" w:hAnsi="Arial" w:cs="Arial"/>
                <w:sz w:val="20"/>
                <w:szCs w:val="20"/>
              </w:rPr>
            </w:pPr>
            <w:r>
              <w:rPr>
                <w:rFonts w:ascii="Arial" w:hAnsi="Arial" w:cs="Arial"/>
                <w:sz w:val="20"/>
                <w:szCs w:val="20"/>
              </w:rPr>
              <w:t>The CYFAR PDTA Center has prepared a sustainability toolkit and this presentation is based on the research that guided its development. Citations for the sustainability toolkit can be provided upon request.</w:t>
            </w:r>
          </w:p>
          <w:p w14:paraId="5CA253DE" w14:textId="77777777" w:rsidR="008275FA" w:rsidRDefault="008275FA" w:rsidP="001124C1">
            <w:pPr>
              <w:pStyle w:val="NoSpacing"/>
              <w:rPr>
                <w:rFonts w:ascii="Arial" w:hAnsi="Arial" w:cs="Arial"/>
                <w:sz w:val="20"/>
                <w:szCs w:val="20"/>
              </w:rPr>
            </w:pPr>
          </w:p>
          <w:p w14:paraId="0D62BCFB" w14:textId="4D89E684" w:rsidR="008275FA" w:rsidRPr="008E1A2B" w:rsidRDefault="008275FA" w:rsidP="001124C1">
            <w:pPr>
              <w:pStyle w:val="NoSpacing"/>
              <w:rPr>
                <w:rFonts w:ascii="Arial" w:hAnsi="Arial" w:cs="Arial"/>
                <w:sz w:val="20"/>
                <w:szCs w:val="20"/>
              </w:rPr>
            </w:pPr>
            <w:r>
              <w:rPr>
                <w:rFonts w:ascii="Arial" w:hAnsi="Arial" w:cs="Arial"/>
                <w:sz w:val="20"/>
                <w:szCs w:val="20"/>
              </w:rPr>
              <w:t>Sustainability studies specific to CYFAR were conducted by Marek, Mancini</w:t>
            </w:r>
            <w:r w:rsidR="00984469">
              <w:rPr>
                <w:rFonts w:ascii="Arial" w:hAnsi="Arial" w:cs="Arial"/>
                <w:sz w:val="20"/>
                <w:szCs w:val="20"/>
              </w:rPr>
              <w:t>, Earthman, and Brock.</w:t>
            </w:r>
          </w:p>
        </w:tc>
      </w:tr>
      <w:tr w:rsidR="00B53D71" w14:paraId="6FE5E40B" w14:textId="77777777" w:rsidTr="0043515C">
        <w:trPr>
          <w:trHeight w:val="101"/>
        </w:trPr>
        <w:tc>
          <w:tcPr>
            <w:tcW w:w="9350" w:type="dxa"/>
            <w:tcBorders>
              <w:left w:val="nil"/>
              <w:right w:val="nil"/>
            </w:tcBorders>
          </w:tcPr>
          <w:p w14:paraId="1E70FEA6" w14:textId="77777777" w:rsidR="00B53D71" w:rsidRPr="00343285" w:rsidRDefault="00B53D71" w:rsidP="0043515C">
            <w:pPr>
              <w:rPr>
                <w:sz w:val="8"/>
              </w:rPr>
            </w:pPr>
          </w:p>
        </w:tc>
      </w:tr>
      <w:tr w:rsidR="00B53D71" w14:paraId="4AFBDE00" w14:textId="77777777" w:rsidTr="0043515C">
        <w:tc>
          <w:tcPr>
            <w:tcW w:w="9350" w:type="dxa"/>
          </w:tcPr>
          <w:p w14:paraId="616A6D9C" w14:textId="77777777" w:rsidR="00B53D71" w:rsidRPr="000C677C" w:rsidRDefault="00B53D71" w:rsidP="0043515C">
            <w:pPr>
              <w:jc w:val="center"/>
              <w:rPr>
                <w:b/>
              </w:rPr>
            </w:pPr>
            <w:r w:rsidRPr="000C677C">
              <w:rPr>
                <w:b/>
              </w:rPr>
              <w:t>What are the implications for professionals who work with at-risk children, youth, and families?</w:t>
            </w:r>
          </w:p>
        </w:tc>
      </w:tr>
      <w:tr w:rsidR="00B53D71" w14:paraId="55C9902F" w14:textId="77777777" w:rsidTr="0043515C">
        <w:tc>
          <w:tcPr>
            <w:tcW w:w="9350" w:type="dxa"/>
          </w:tcPr>
          <w:p w14:paraId="3B808828" w14:textId="77777777" w:rsidR="00B53D71" w:rsidRDefault="00B53D71" w:rsidP="0043515C"/>
          <w:p w14:paraId="4CF43E6C" w14:textId="5F6CDF59" w:rsidR="00B53D71" w:rsidRPr="002047EC" w:rsidRDefault="00984469" w:rsidP="0043515C">
            <w:pPr>
              <w:rPr>
                <w:rFonts w:ascii="Arial" w:hAnsi="Arial" w:cs="Arial"/>
                <w:sz w:val="20"/>
              </w:rPr>
            </w:pPr>
            <w:r>
              <w:rPr>
                <w:rFonts w:ascii="Arial" w:hAnsi="Arial" w:cs="Arial"/>
                <w:sz w:val="20"/>
              </w:rPr>
              <w:t>The webinar content will empower CYFAR SCP grantees to understand strategies for identifying and approaching potential funders. Th</w:t>
            </w:r>
            <w:r w:rsidR="00B53D71">
              <w:rPr>
                <w:rFonts w:ascii="Arial" w:hAnsi="Arial" w:cs="Arial"/>
                <w:sz w:val="20"/>
              </w:rPr>
              <w:t xml:space="preserve">e webinar </w:t>
            </w:r>
            <w:r>
              <w:rPr>
                <w:rFonts w:ascii="Arial" w:hAnsi="Arial" w:cs="Arial"/>
                <w:sz w:val="20"/>
              </w:rPr>
              <w:t xml:space="preserve">content </w:t>
            </w:r>
            <w:r w:rsidR="00B53D71">
              <w:rPr>
                <w:rFonts w:ascii="Arial" w:hAnsi="Arial" w:cs="Arial"/>
                <w:sz w:val="20"/>
              </w:rPr>
              <w:t xml:space="preserve">will </w:t>
            </w:r>
            <w:r>
              <w:rPr>
                <w:rFonts w:ascii="Arial" w:hAnsi="Arial" w:cs="Arial"/>
                <w:sz w:val="20"/>
              </w:rPr>
              <w:t xml:space="preserve">highlight </w:t>
            </w:r>
            <w:r w:rsidR="00B53D71">
              <w:rPr>
                <w:rFonts w:ascii="Arial" w:hAnsi="Arial" w:cs="Arial"/>
                <w:sz w:val="20"/>
              </w:rPr>
              <w:t xml:space="preserve">practical </w:t>
            </w:r>
            <w:r>
              <w:rPr>
                <w:rFonts w:ascii="Arial" w:hAnsi="Arial" w:cs="Arial"/>
                <w:sz w:val="20"/>
              </w:rPr>
              <w:t xml:space="preserve">fund-development and </w:t>
            </w:r>
            <w:r w:rsidR="00B53D71">
              <w:rPr>
                <w:rFonts w:ascii="Arial" w:hAnsi="Arial" w:cs="Arial"/>
                <w:sz w:val="20"/>
              </w:rPr>
              <w:t>r</w:t>
            </w:r>
            <w:r>
              <w:rPr>
                <w:rFonts w:ascii="Arial" w:hAnsi="Arial" w:cs="Arial"/>
                <w:sz w:val="20"/>
              </w:rPr>
              <w:t>elationship-building strategies that have been tested by peers. These strategies can increase CYFAR SCP grantees ability to communication project need and outcomes, foster community ownership, promote cross system collaboration and secure support for project longevity.</w:t>
            </w:r>
          </w:p>
          <w:p w14:paraId="510B918C" w14:textId="77777777" w:rsidR="00B53D71" w:rsidRDefault="00B53D71" w:rsidP="0043515C"/>
          <w:p w14:paraId="43DB794E" w14:textId="77777777" w:rsidR="00B53D71" w:rsidRDefault="00B53D71" w:rsidP="0043515C"/>
        </w:tc>
      </w:tr>
    </w:tbl>
    <w:p w14:paraId="30AD35AA" w14:textId="77777777" w:rsidR="00B53D71" w:rsidRDefault="00B53D71">
      <w:pPr>
        <w:rPr>
          <w:b/>
        </w:rPr>
      </w:pPr>
      <w:r w:rsidRPr="00B53D71">
        <w:rPr>
          <w:b/>
          <w:noProof/>
        </w:rPr>
        <mc:AlternateContent>
          <mc:Choice Requires="wps">
            <w:drawing>
              <wp:anchor distT="45720" distB="45720" distL="114300" distR="114300" simplePos="0" relativeHeight="251673600" behindDoc="0" locked="0" layoutInCell="1" allowOverlap="1" wp14:anchorId="5F9FFD13" wp14:editId="17BCB5F8">
                <wp:simplePos x="0" y="0"/>
                <wp:positionH relativeFrom="column">
                  <wp:posOffset>-86360</wp:posOffset>
                </wp:positionH>
                <wp:positionV relativeFrom="paragraph">
                  <wp:posOffset>5854065</wp:posOffset>
                </wp:positionV>
                <wp:extent cx="633412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solidFill>
                          <a:srgbClr val="FFFFFF"/>
                        </a:solidFill>
                        <a:ln w="9525">
                          <a:noFill/>
                          <a:miter lim="800000"/>
                          <a:headEnd/>
                          <a:tailEnd/>
                        </a:ln>
                      </wps:spPr>
                      <wps:txbx>
                        <w:txbxContent>
                          <w:p w14:paraId="22E0D801" w14:textId="7D37144D" w:rsidR="00B53D71" w:rsidRDefault="00B53D71">
                            <w:r>
                              <w:rPr>
                                <w:b/>
                              </w:rPr>
                              <w:t xml:space="preserve">Recordings of </w:t>
                            </w:r>
                            <w:r w:rsidRPr="002D3757">
                              <w:rPr>
                                <w:b/>
                              </w:rPr>
                              <w:t xml:space="preserve">CYFAR </w:t>
                            </w:r>
                            <w:r>
                              <w:rPr>
                                <w:b/>
                              </w:rPr>
                              <w:t xml:space="preserve">PDTA Center </w:t>
                            </w:r>
                            <w:r w:rsidRPr="002D3757">
                              <w:rPr>
                                <w:b/>
                              </w:rPr>
                              <w:t xml:space="preserve">Webinars </w:t>
                            </w:r>
                            <w:r>
                              <w:rPr>
                                <w:b/>
                              </w:rPr>
                              <w:t xml:space="preserve">Will Be Posted Online: </w:t>
                            </w:r>
                            <w:hyperlink r:id="rId9" w:history="1">
                              <w:r w:rsidR="00984469" w:rsidRPr="00984469">
                                <w:rPr>
                                  <w:color w:val="0000FF"/>
                                  <w:u w:val="single"/>
                                </w:rPr>
                                <w:t>https://cyfar.org/resources/webinars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FFD13" id="_x0000_s1028" type="#_x0000_t202" style="position:absolute;margin-left:-6.8pt;margin-top:460.95pt;width:49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" stroked="f">
                <v:textbox style="mso-fit-shape-to-text:t">
                  <w:txbxContent>
                    <w:p w14:paraId="22E0D801" w14:textId="7D37144D" w:rsidR="00B53D71" w:rsidRDefault="00B53D71">
                      <w:r>
                        <w:rPr>
                          <w:b/>
                        </w:rPr>
                        <w:t xml:space="preserve">Recordings of </w:t>
                      </w:r>
                      <w:r w:rsidRPr="002D3757">
                        <w:rPr>
                          <w:b/>
                        </w:rPr>
                        <w:t xml:space="preserve">CYFAR </w:t>
                      </w:r>
                      <w:r>
                        <w:rPr>
                          <w:b/>
                        </w:rPr>
                        <w:t xml:space="preserve">PDTA Center </w:t>
                      </w:r>
                      <w:r w:rsidRPr="002D3757">
                        <w:rPr>
                          <w:b/>
                        </w:rPr>
                        <w:t>Web</w:t>
                      </w:r>
                      <w:bookmarkStart w:id="1" w:name="_GoBack"/>
                      <w:bookmarkEnd w:id="1"/>
                      <w:r w:rsidRPr="002D3757">
                        <w:rPr>
                          <w:b/>
                        </w:rPr>
                        <w:t xml:space="preserve">inars </w:t>
                      </w:r>
                      <w:r>
                        <w:rPr>
                          <w:b/>
                        </w:rPr>
                        <w:t xml:space="preserve">Will Be Posted Online: </w:t>
                      </w:r>
                      <w:hyperlink r:id="rId10" w:history="1">
                        <w:r w:rsidR="00984469" w:rsidRPr="00984469">
                          <w:rPr>
                            <w:color w:val="0000FF"/>
                            <w:u w:val="single"/>
                          </w:rPr>
                          <w:t>https://cyfar.org/resources/webinars</w:t>
                        </w:r>
                      </w:hyperlink>
                    </w:p>
                  </w:txbxContent>
                </v:textbox>
                <w10:wrap type="square"/>
              </v:shape>
            </w:pict>
          </mc:Fallback>
        </mc:AlternateContent>
      </w:r>
    </w:p>
    <w:sectPr w:rsidR="00B53D71" w:rsidSect="003D3EF4">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54A87"/>
    <w:multiLevelType w:val="hybridMultilevel"/>
    <w:tmpl w:val="27684404"/>
    <w:lvl w:ilvl="0" w:tplc="8CB8EA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86"/>
    <w:rsid w:val="000C677C"/>
    <w:rsid w:val="001124C1"/>
    <w:rsid w:val="002047EC"/>
    <w:rsid w:val="00243AA3"/>
    <w:rsid w:val="00295915"/>
    <w:rsid w:val="002D3757"/>
    <w:rsid w:val="00343285"/>
    <w:rsid w:val="00355D92"/>
    <w:rsid w:val="003D3EF4"/>
    <w:rsid w:val="004B2094"/>
    <w:rsid w:val="005072D8"/>
    <w:rsid w:val="00534DE0"/>
    <w:rsid w:val="005B53E3"/>
    <w:rsid w:val="006E2614"/>
    <w:rsid w:val="00721AEB"/>
    <w:rsid w:val="00764FED"/>
    <w:rsid w:val="008275FA"/>
    <w:rsid w:val="008605CF"/>
    <w:rsid w:val="008E1A2B"/>
    <w:rsid w:val="00984469"/>
    <w:rsid w:val="00A00D14"/>
    <w:rsid w:val="00A1045B"/>
    <w:rsid w:val="00A16A72"/>
    <w:rsid w:val="00A45EEF"/>
    <w:rsid w:val="00A8400E"/>
    <w:rsid w:val="00B46E86"/>
    <w:rsid w:val="00B53D71"/>
    <w:rsid w:val="00C6129F"/>
    <w:rsid w:val="00D87335"/>
    <w:rsid w:val="00DF3584"/>
    <w:rsid w:val="00EF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0258"/>
  <w15:chartTrackingRefBased/>
  <w15:docId w15:val="{B43084AC-EFEB-4785-911E-2A914E18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ustomMaroon">
    <w:name w:val="Custom Maroon"/>
    <w:basedOn w:val="GridTable2"/>
    <w:uiPriority w:val="99"/>
    <w:rsid w:val="00721AEB"/>
    <w:tblPr/>
    <w:tcPr>
      <w:shd w:val="clear" w:color="auto" w:fill="9A061E"/>
    </w:tc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721A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46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FED"/>
    <w:pPr>
      <w:ind w:left="720"/>
      <w:contextualSpacing/>
    </w:pPr>
  </w:style>
  <w:style w:type="paragraph" w:styleId="NoSpacing">
    <w:name w:val="No Spacing"/>
    <w:uiPriority w:val="1"/>
    <w:qFormat/>
    <w:rsid w:val="002047EC"/>
  </w:style>
  <w:style w:type="character" w:styleId="Hyperlink">
    <w:name w:val="Hyperlink"/>
    <w:basedOn w:val="DefaultParagraphFont"/>
    <w:uiPriority w:val="99"/>
    <w:unhideWhenUsed/>
    <w:rsid w:val="00B53D71"/>
    <w:rPr>
      <w:color w:val="0563C1" w:themeColor="hyperlink"/>
      <w:u w:val="single"/>
    </w:rPr>
  </w:style>
  <w:style w:type="character" w:styleId="CommentReference">
    <w:name w:val="annotation reference"/>
    <w:basedOn w:val="DefaultParagraphFont"/>
    <w:uiPriority w:val="99"/>
    <w:semiHidden/>
    <w:unhideWhenUsed/>
    <w:rsid w:val="00B53D71"/>
    <w:rPr>
      <w:sz w:val="16"/>
      <w:szCs w:val="16"/>
    </w:rPr>
  </w:style>
  <w:style w:type="paragraph" w:styleId="CommentText">
    <w:name w:val="annotation text"/>
    <w:basedOn w:val="Normal"/>
    <w:link w:val="CommentTextChar"/>
    <w:uiPriority w:val="99"/>
    <w:semiHidden/>
    <w:unhideWhenUsed/>
    <w:rsid w:val="00B53D71"/>
    <w:rPr>
      <w:sz w:val="20"/>
      <w:szCs w:val="20"/>
    </w:rPr>
  </w:style>
  <w:style w:type="character" w:customStyle="1" w:styleId="CommentTextChar">
    <w:name w:val="Comment Text Char"/>
    <w:basedOn w:val="DefaultParagraphFont"/>
    <w:link w:val="CommentText"/>
    <w:uiPriority w:val="99"/>
    <w:semiHidden/>
    <w:rsid w:val="00B53D71"/>
    <w:rPr>
      <w:sz w:val="20"/>
      <w:szCs w:val="20"/>
    </w:rPr>
  </w:style>
  <w:style w:type="paragraph" w:styleId="CommentSubject">
    <w:name w:val="annotation subject"/>
    <w:basedOn w:val="CommentText"/>
    <w:next w:val="CommentText"/>
    <w:link w:val="CommentSubjectChar"/>
    <w:uiPriority w:val="99"/>
    <w:semiHidden/>
    <w:unhideWhenUsed/>
    <w:rsid w:val="00B53D71"/>
    <w:rPr>
      <w:b/>
      <w:bCs/>
    </w:rPr>
  </w:style>
  <w:style w:type="character" w:customStyle="1" w:styleId="CommentSubjectChar">
    <w:name w:val="Comment Subject Char"/>
    <w:basedOn w:val="CommentTextChar"/>
    <w:link w:val="CommentSubject"/>
    <w:uiPriority w:val="99"/>
    <w:semiHidden/>
    <w:rsid w:val="00B53D71"/>
    <w:rPr>
      <w:b/>
      <w:bCs/>
      <w:sz w:val="20"/>
      <w:szCs w:val="20"/>
    </w:rPr>
  </w:style>
  <w:style w:type="paragraph" w:styleId="BalloonText">
    <w:name w:val="Balloon Text"/>
    <w:basedOn w:val="Normal"/>
    <w:link w:val="BalloonTextChar"/>
    <w:uiPriority w:val="99"/>
    <w:semiHidden/>
    <w:unhideWhenUsed/>
    <w:rsid w:val="00B53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cyfar.org/resources/webinars" TargetMode="External"/><Relationship Id="rId4" Type="http://schemas.openxmlformats.org/officeDocument/2006/relationships/webSettings" Target="webSettings.xml"/><Relationship Id="rId9" Type="http://schemas.openxmlformats.org/officeDocument/2006/relationships/hyperlink" Target="https://cyfar.org/resources/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 Otto</dc:creator>
  <cp:keywords/>
  <dc:description/>
  <cp:lastModifiedBy>Kimberly McCarthy</cp:lastModifiedBy>
  <cp:revision>3</cp:revision>
  <dcterms:created xsi:type="dcterms:W3CDTF">2019-05-06T19:59:00Z</dcterms:created>
  <dcterms:modified xsi:type="dcterms:W3CDTF">2019-05-13T14:49:00Z</dcterms:modified>
</cp:coreProperties>
</file>